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b/>
          <w:bCs/>
          <w:sz w:val="36"/>
          <w:szCs w:val="36"/>
          <w:lang w:val="en-US" w:eastAsia="zh-CN"/>
        </w:rPr>
      </w:pPr>
      <w:bookmarkStart w:id="0" w:name="_GoBack"/>
      <w:bookmarkEnd w:id="0"/>
      <w:r>
        <w:rPr>
          <w:rFonts w:hint="eastAsia" w:ascii="宋体" w:hAnsi="宋体" w:eastAsia="宋体"/>
          <w:b/>
          <w:bCs/>
          <w:sz w:val="36"/>
          <w:szCs w:val="36"/>
          <w:lang w:val="en-US" w:eastAsia="zh-CN"/>
        </w:rPr>
        <w:t>附录9</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en-US" w:eastAsia="zh-CN" w:bidi="zh-TW"/>
        </w:rPr>
      </w:pPr>
      <w:r>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en-US" w:eastAsia="zh-CN" w:bidi="zh-TW"/>
        </w:rPr>
        <w:t>湖北师范大学后勤集团</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1"/>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zh-TW" w:eastAsia="zh-TW" w:bidi="zh-TW"/>
        </w:rPr>
      </w:pPr>
      <w:r>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en-US" w:eastAsia="zh-CN" w:bidi="zh-TW"/>
        </w:rPr>
        <w:t>面食制作劳动教育实践基地</w:t>
      </w:r>
      <w:r>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zh-TW" w:eastAsia="zh-CN" w:bidi="zh-TW"/>
        </w:rPr>
        <w:t>建设</w:t>
      </w:r>
      <w:r>
        <w:rPr>
          <w:rFonts w:hint="eastAsia" w:asciiTheme="majorEastAsia" w:hAnsiTheme="majorEastAsia" w:eastAsiaTheme="majorEastAsia" w:cstheme="majorEastAsia"/>
          <w:b/>
          <w:bCs/>
          <w:i w:val="0"/>
          <w:iCs w:val="0"/>
          <w:smallCaps w:val="0"/>
          <w:strike w:val="0"/>
          <w:color w:val="000000"/>
          <w:spacing w:val="0"/>
          <w:w w:val="100"/>
          <w:position w:val="0"/>
          <w:sz w:val="44"/>
          <w:szCs w:val="44"/>
          <w:u w:val="none"/>
          <w:lang w:val="zh-TW" w:eastAsia="zh-TW" w:bidi="zh-TW"/>
        </w:rPr>
        <w:t>方案</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7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i w:val="0"/>
          <w:iCs w:val="0"/>
          <w:smallCaps w:val="0"/>
          <w:strike w:val="0"/>
          <w:color w:val="000000"/>
          <w:spacing w:val="0"/>
          <w:w w:val="100"/>
          <w:position w:val="0"/>
          <w:sz w:val="44"/>
          <w:szCs w:val="44"/>
          <w:u w:val="none"/>
          <w:lang w:val="zh-TW" w:eastAsia="zh-TW" w:bidi="zh-TW"/>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概要</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一</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基本概况</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基于</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情、学情、</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专业</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等办学情况对</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本</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开展</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劳动教育</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工作进行研究分析</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后勤集团</w:t>
      </w:r>
      <w:r>
        <w:rPr>
          <w:rFonts w:ascii="微软雅黑" w:hAnsi="微软雅黑" w:eastAsia="微软雅黑" w:cs="微软雅黑"/>
          <w:i w:val="0"/>
          <w:iCs w:val="0"/>
          <w:caps w:val="0"/>
          <w:color w:val="333333"/>
          <w:spacing w:val="0"/>
          <w:sz w:val="24"/>
          <w:szCs w:val="24"/>
          <w:shd w:val="clear" w:fill="FFFFFF"/>
        </w:rPr>
        <w:t>饮食管理中心负责食堂伙食质量、花色品种、安全卫生、服务态度等各个方面的监督考核</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lang w:val="en-US" w:eastAsia="zh-CN"/>
        </w:rPr>
        <w:t>负责</w:t>
      </w:r>
      <w:r>
        <w:rPr>
          <w:rFonts w:hint="eastAsia" w:ascii="微软雅黑" w:hAnsi="微软雅黑" w:eastAsia="微软雅黑" w:cs="微软雅黑"/>
          <w:i w:val="0"/>
          <w:iCs w:val="0"/>
          <w:caps w:val="0"/>
          <w:color w:val="333333"/>
          <w:spacing w:val="0"/>
          <w:sz w:val="24"/>
          <w:szCs w:val="24"/>
          <w:shd w:val="clear" w:fill="FFFFFF"/>
          <w:lang w:eastAsia="zh-CN"/>
        </w:rPr>
        <w:t>食堂的采购、加工、出售等各环节卫生管理，防止食源性疾患和食物中毒事故的发生</w:t>
      </w:r>
      <w:r>
        <w:rPr>
          <w:rFonts w:hint="eastAsia" w:ascii="微软雅黑" w:hAnsi="微软雅黑" w:eastAsia="微软雅黑" w:cs="微软雅黑"/>
          <w:i w:val="0"/>
          <w:iCs w:val="0"/>
          <w:caps w:val="0"/>
          <w:color w:val="333333"/>
          <w:spacing w:val="0"/>
          <w:sz w:val="24"/>
          <w:szCs w:val="24"/>
          <w:shd w:val="clear" w:fill="FFFFFF"/>
          <w:lang w:val="en-US" w:eastAsia="zh-CN"/>
        </w:rPr>
        <w:t>。面食加工与制作劳动教育实践基地依托后勤集团</w:t>
      </w:r>
      <w:r>
        <w:rPr>
          <w:rFonts w:ascii="微软雅黑" w:hAnsi="微软雅黑" w:eastAsia="微软雅黑" w:cs="微软雅黑"/>
          <w:i w:val="0"/>
          <w:iCs w:val="0"/>
          <w:caps w:val="0"/>
          <w:color w:val="333333"/>
          <w:spacing w:val="0"/>
          <w:sz w:val="24"/>
          <w:szCs w:val="24"/>
          <w:shd w:val="clear" w:fill="FFFFFF"/>
        </w:rPr>
        <w:t>饮食管理中心</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lang w:val="en-US" w:eastAsia="zh-CN"/>
        </w:rPr>
        <w:t>并委派有厨师证的厨师作为制作与加工的技术指导，知识教学由生科院食品专业老师设计教学内容，历史文化学院负责饮食文化建设与宣传设计，劳动实践地点设在食堂，周末两天进行，全天候开放，具体地点待定。</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二、</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总体</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理念</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结合新时</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代劳动教育的</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新要求</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和学院实际</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，研究提出</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劳动教育</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建设总体理念与</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思路</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及课程实施方案，实现“以劳增智，以劳培德，以劳强体，以劳育美”的目标，完成培养时代新人的任务</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zh-TW" w:eastAsia="zh-TW"/>
        </w:rPr>
      </w:pP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hint="eastAsia" w:ascii="微软雅黑" w:hAnsi="微软雅黑" w:eastAsia="微软雅黑" w:cs="微软雅黑"/>
          <w:i w:val="0"/>
          <w:iCs w:val="0"/>
          <w:caps w:val="0"/>
          <w:color w:val="333333"/>
          <w:spacing w:val="0"/>
          <w:sz w:val="24"/>
          <w:szCs w:val="24"/>
          <w:shd w:val="clear" w:fill="FFFFFF"/>
          <w:lang w:val="zh-TW" w:eastAsia="zh-CN"/>
        </w:rPr>
        <w:t>统筹推进</w:t>
      </w:r>
      <w:r>
        <w:rPr>
          <w:rFonts w:hint="eastAsia" w:ascii="微软雅黑" w:hAnsi="微软雅黑" w:eastAsia="微软雅黑" w:cs="微软雅黑"/>
          <w:i w:val="0"/>
          <w:iCs w:val="0"/>
          <w:caps w:val="0"/>
          <w:color w:val="333333"/>
          <w:spacing w:val="0"/>
          <w:sz w:val="24"/>
          <w:szCs w:val="24"/>
          <w:shd w:val="clear" w:fill="FFFFFF"/>
          <w:lang w:val="en-US" w:eastAsia="zh-CN"/>
        </w:rPr>
        <w:t>劳动教育（二）内容体系</w:t>
      </w:r>
      <w:r>
        <w:rPr>
          <w:rFonts w:hint="eastAsia" w:ascii="微软雅黑" w:hAnsi="微软雅黑" w:eastAsia="微软雅黑" w:cs="微软雅黑"/>
          <w:i w:val="0"/>
          <w:iCs w:val="0"/>
          <w:caps w:val="0"/>
          <w:color w:val="333333"/>
          <w:spacing w:val="0"/>
          <w:sz w:val="24"/>
          <w:szCs w:val="24"/>
          <w:shd w:val="clear" w:fill="FFFFFF"/>
          <w:lang w:val="zh-TW" w:eastAsia="zh-TW"/>
        </w:rPr>
        <w:t>一体化建设</w:t>
      </w:r>
      <w:r>
        <w:rPr>
          <w:rFonts w:hint="eastAsia" w:ascii="微软雅黑" w:hAnsi="微软雅黑" w:eastAsia="微软雅黑" w:cs="微软雅黑"/>
          <w:i w:val="0"/>
          <w:iCs w:val="0"/>
          <w:caps w:val="0"/>
          <w:color w:val="333333"/>
          <w:spacing w:val="0"/>
          <w:sz w:val="24"/>
          <w:szCs w:val="24"/>
          <w:shd w:val="clear" w:fill="FFFFFF"/>
          <w:lang w:val="zh-TW" w:eastAsia="zh-CN"/>
        </w:rPr>
        <w:t>，</w:t>
      </w:r>
      <w:r>
        <w:rPr>
          <w:rFonts w:hint="eastAsia" w:ascii="微软雅黑" w:hAnsi="微软雅黑" w:eastAsia="微软雅黑" w:cs="微软雅黑"/>
          <w:i w:val="0"/>
          <w:iCs w:val="0"/>
          <w:caps w:val="0"/>
          <w:color w:val="333333"/>
          <w:spacing w:val="0"/>
          <w:sz w:val="24"/>
          <w:szCs w:val="24"/>
          <w:shd w:val="clear" w:fill="FFFFFF"/>
          <w:lang w:val="zh-TW" w:eastAsia="zh-TW"/>
        </w:rPr>
        <w:t>探索</w:t>
      </w:r>
      <w:r>
        <w:rPr>
          <w:rFonts w:hint="eastAsia" w:ascii="微软雅黑" w:hAnsi="微软雅黑" w:eastAsia="微软雅黑" w:cs="微软雅黑"/>
          <w:i w:val="0"/>
          <w:iCs w:val="0"/>
          <w:caps w:val="0"/>
          <w:color w:val="333333"/>
          <w:spacing w:val="0"/>
          <w:sz w:val="24"/>
          <w:szCs w:val="24"/>
          <w:shd w:val="clear" w:fill="FFFFFF"/>
          <w:lang w:val="en-US" w:eastAsia="zh-CN"/>
        </w:rPr>
        <w:t>课程基地化</w:t>
      </w:r>
      <w:r>
        <w:rPr>
          <w:rFonts w:hint="eastAsia" w:ascii="微软雅黑" w:hAnsi="微软雅黑" w:eastAsia="微软雅黑" w:cs="微软雅黑"/>
          <w:i w:val="0"/>
          <w:iCs w:val="0"/>
          <w:caps w:val="0"/>
          <w:color w:val="333333"/>
          <w:spacing w:val="0"/>
          <w:sz w:val="24"/>
          <w:szCs w:val="24"/>
          <w:shd w:val="clear" w:fill="FFFFFF"/>
          <w:lang w:val="zh-TW" w:eastAsia="zh-TW"/>
        </w:rPr>
        <w:t>，</w:t>
      </w:r>
      <w:r>
        <w:rPr>
          <w:rFonts w:hint="eastAsia" w:ascii="微软雅黑" w:hAnsi="微软雅黑" w:eastAsia="微软雅黑" w:cs="微软雅黑"/>
          <w:i w:val="0"/>
          <w:iCs w:val="0"/>
          <w:caps w:val="0"/>
          <w:color w:val="333333"/>
          <w:spacing w:val="0"/>
          <w:sz w:val="24"/>
          <w:szCs w:val="24"/>
          <w:shd w:val="clear" w:fill="FFFFFF"/>
          <w:lang w:val="zh-TW" w:eastAsia="zh-CN"/>
        </w:rPr>
        <w:t>着力破解课程理念、目标内容、教学</w:t>
      </w:r>
      <w:r>
        <w:rPr>
          <w:rFonts w:hint="eastAsia" w:ascii="微软雅黑" w:hAnsi="微软雅黑" w:eastAsia="微软雅黑" w:cs="微软雅黑"/>
          <w:i w:val="0"/>
          <w:iCs w:val="0"/>
          <w:caps w:val="0"/>
          <w:color w:val="333333"/>
          <w:spacing w:val="0"/>
          <w:sz w:val="24"/>
          <w:szCs w:val="24"/>
          <w:shd w:val="clear" w:fill="FFFFFF"/>
          <w:lang w:val="en-US" w:eastAsia="zh-CN"/>
        </w:rPr>
        <w:t>过程</w:t>
      </w:r>
      <w:r>
        <w:rPr>
          <w:rFonts w:hint="eastAsia" w:ascii="微软雅黑" w:hAnsi="微软雅黑" w:eastAsia="微软雅黑" w:cs="微软雅黑"/>
          <w:i w:val="0"/>
          <w:iCs w:val="0"/>
          <w:caps w:val="0"/>
          <w:color w:val="333333"/>
          <w:spacing w:val="0"/>
          <w:sz w:val="24"/>
          <w:szCs w:val="24"/>
          <w:shd w:val="clear" w:fill="FFFFFF"/>
          <w:lang w:val="zh-TW" w:eastAsia="zh-CN"/>
        </w:rPr>
        <w:t>、队伍保障、课程评价一体化过程中出现的重点难点问题，</w:t>
      </w:r>
      <w:r>
        <w:rPr>
          <w:rFonts w:hint="eastAsia" w:ascii="微软雅黑" w:hAnsi="微软雅黑" w:eastAsia="微软雅黑" w:cs="微软雅黑"/>
          <w:i w:val="0"/>
          <w:iCs w:val="0"/>
          <w:caps w:val="0"/>
          <w:color w:val="333333"/>
          <w:spacing w:val="0"/>
          <w:sz w:val="24"/>
          <w:szCs w:val="24"/>
          <w:shd w:val="clear" w:fill="FFFFFF"/>
          <w:lang w:val="zh-TW" w:eastAsia="zh-TW"/>
        </w:rPr>
        <w:t>打造</w:t>
      </w:r>
      <w:r>
        <w:rPr>
          <w:rFonts w:hint="eastAsia" w:ascii="微软雅黑" w:hAnsi="微软雅黑" w:eastAsia="微软雅黑" w:cs="微软雅黑"/>
          <w:i w:val="0"/>
          <w:iCs w:val="0"/>
          <w:caps w:val="0"/>
          <w:color w:val="333333"/>
          <w:spacing w:val="0"/>
          <w:sz w:val="24"/>
          <w:szCs w:val="24"/>
          <w:shd w:val="clear" w:fill="FFFFFF"/>
          <w:lang w:val="en-US" w:eastAsia="zh-CN"/>
        </w:rPr>
        <w:t>劳动教育</w:t>
      </w:r>
      <w:r>
        <w:rPr>
          <w:rFonts w:hint="eastAsia" w:ascii="微软雅黑" w:hAnsi="微软雅黑" w:eastAsia="微软雅黑" w:cs="微软雅黑"/>
          <w:i w:val="0"/>
          <w:iCs w:val="0"/>
          <w:caps w:val="0"/>
          <w:color w:val="333333"/>
          <w:spacing w:val="0"/>
          <w:sz w:val="24"/>
          <w:szCs w:val="24"/>
          <w:shd w:val="clear" w:fill="FFFFFF"/>
          <w:lang w:val="zh-TW" w:eastAsia="zh-TW"/>
        </w:rPr>
        <w:t>一体化教育样板，辐射带动全</w:t>
      </w:r>
      <w:r>
        <w:rPr>
          <w:rFonts w:hint="eastAsia" w:ascii="微软雅黑" w:hAnsi="微软雅黑" w:eastAsia="微软雅黑" w:cs="微软雅黑"/>
          <w:i w:val="0"/>
          <w:iCs w:val="0"/>
          <w:caps w:val="0"/>
          <w:color w:val="333333"/>
          <w:spacing w:val="0"/>
          <w:sz w:val="24"/>
          <w:szCs w:val="24"/>
          <w:shd w:val="clear" w:fill="FFFFFF"/>
          <w:lang w:val="en-US" w:eastAsia="zh-CN"/>
        </w:rPr>
        <w:t>校劳动教育</w:t>
      </w:r>
      <w:r>
        <w:rPr>
          <w:rFonts w:hint="eastAsia" w:ascii="微软雅黑" w:hAnsi="微软雅黑" w:eastAsia="微软雅黑" w:cs="微软雅黑"/>
          <w:i w:val="0"/>
          <w:iCs w:val="0"/>
          <w:caps w:val="0"/>
          <w:color w:val="333333"/>
          <w:spacing w:val="0"/>
          <w:sz w:val="24"/>
          <w:szCs w:val="24"/>
          <w:shd w:val="clear" w:fill="FFFFFF"/>
          <w:lang w:val="zh-TW" w:eastAsia="zh-TW"/>
        </w:rPr>
        <w:t>课</w:t>
      </w:r>
      <w:r>
        <w:rPr>
          <w:rFonts w:hint="eastAsia" w:ascii="微软雅黑" w:hAnsi="微软雅黑" w:eastAsia="微软雅黑" w:cs="微软雅黑"/>
          <w:i w:val="0"/>
          <w:iCs w:val="0"/>
          <w:caps w:val="0"/>
          <w:color w:val="333333"/>
          <w:spacing w:val="0"/>
          <w:sz w:val="24"/>
          <w:szCs w:val="24"/>
          <w:shd w:val="clear" w:fill="FFFFFF"/>
          <w:lang w:val="en-US" w:eastAsia="zh-CN"/>
        </w:rPr>
        <w:t>程</w:t>
      </w:r>
      <w:r>
        <w:rPr>
          <w:rFonts w:hint="eastAsia" w:ascii="微软雅黑" w:hAnsi="微软雅黑" w:eastAsia="微软雅黑" w:cs="微软雅黑"/>
          <w:i w:val="0"/>
          <w:iCs w:val="0"/>
          <w:caps w:val="0"/>
          <w:color w:val="333333"/>
          <w:spacing w:val="0"/>
          <w:sz w:val="24"/>
          <w:szCs w:val="24"/>
          <w:shd w:val="clear" w:fill="FFFFFF"/>
          <w:lang w:val="zh-TW" w:eastAsia="zh-TW"/>
        </w:rPr>
        <w:t>一体化建设。</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充分发挥后勤集团食堂饮食环境与厨师资源优势，将面食加工与制作所用资源与劳动教育有机结合，开展研学实践、职业体验、生产劳动教育，探索劳动教育实践的新形式，努力打造劳动教育文化铸魂育人品牌，让学生认识劳动、体验劳动，培养劳动精神和创新精神，劳动创造价值。</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3.加强与生命科学院的协作，由生科院食品专业老师创建线上课程，饮食中心专业厨师进行技术指导，食品科学与工程高年级学生作为助教参与指导，多方协作完成劳动教育工作格局，努力拓展劳动教育的深度和范围，探索构建协同育人新局面，为全校推进劳动教育工作提供有益借鉴。</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4.后勤集团将把劳动教育作为一项基础性、长远性的工作抓实抓好，与历史文化学院合作，加强饮食文化宣传，传播中华民族文化，充分发挥劳动教育的综合育人功能，促进后勤服务与劳动教育协同发展、形成新经验、彰显新效应，在推进全校劳动教育落实落细和改革发展中发挥引领创新和示范带动作用。</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5.严格落实新时代劳动教育政策要求，全面加强劳动教育工作，积极探索开展劳动教育的新举措和新机制，形成可学习、可借鉴、可推广的典型经验和做法，打造特色鲜明的湖师劳动教育品牌。</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6.动员食堂力量支持开展劳动教育工作，优化劳动教育（二）课程内容设计、拓展实践场所，加强双师型师资队伍建设，探索小先生制在劳动教育过程中的作用，强化条件保障，切实将劳动教育纳入人才培养的全过程，实现管理育人的良好局面。</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三、</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建设</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目标</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深入挖掘</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教育</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课程的育人元素，</w:t>
      </w:r>
      <w:r>
        <w:rPr>
          <w:rFonts w:hint="eastAsia" w:ascii="仿宋_GB2312" w:hAnsi="仿宋_GB2312" w:eastAsia="仿宋_GB2312" w:cs="仿宋_GB2312"/>
          <w:color w:val="000000"/>
          <w:spacing w:val="0"/>
          <w:sz w:val="32"/>
          <w:szCs w:val="32"/>
          <w:lang w:val="en-US" w:eastAsia="zh-CN" w:bidi="zh-TW"/>
        </w:rPr>
        <w:t>重视劳动</w:t>
      </w:r>
      <w:r>
        <w:rPr>
          <w:rFonts w:hint="eastAsia" w:ascii="仿宋_GB2312" w:hAnsi="仿宋_GB2312" w:eastAsia="仿宋_GB2312" w:cs="仿宋_GB2312"/>
          <w:color w:val="000000"/>
          <w:spacing w:val="0"/>
          <w:sz w:val="32"/>
          <w:szCs w:val="32"/>
          <w:lang w:val="zh-TW" w:bidi="zh-TW"/>
        </w:rPr>
        <w:t>实践</w:t>
      </w:r>
      <w:r>
        <w:rPr>
          <w:rFonts w:hint="eastAsia" w:ascii="仿宋_GB2312" w:hAnsi="仿宋_GB2312" w:eastAsia="仿宋_GB2312" w:cs="仿宋_GB2312"/>
          <w:color w:val="000000"/>
          <w:spacing w:val="0"/>
          <w:sz w:val="32"/>
          <w:szCs w:val="32"/>
          <w:lang w:val="zh-TW" w:eastAsia="zh-CN" w:bidi="zh-TW"/>
        </w:rPr>
        <w:t>，</w:t>
      </w:r>
      <w:r>
        <w:rPr>
          <w:rFonts w:hint="eastAsia" w:ascii="仿宋_GB2312" w:hAnsi="仿宋_GB2312" w:eastAsia="仿宋_GB2312" w:cs="仿宋_GB2312"/>
          <w:color w:val="000000"/>
          <w:spacing w:val="0"/>
          <w:sz w:val="32"/>
          <w:szCs w:val="32"/>
          <w:lang w:val="en-US" w:eastAsia="zh-CN" w:bidi="zh-TW"/>
        </w:rPr>
        <w:t>注重劳动卫生、食品安全、劳动纪律、劳动技能的</w:t>
      </w:r>
      <w:r>
        <w:rPr>
          <w:rFonts w:hint="eastAsia" w:ascii="仿宋_GB2312" w:hAnsi="仿宋_GB2312" w:eastAsia="仿宋_GB2312" w:cs="仿宋_GB2312"/>
          <w:color w:val="000000"/>
          <w:spacing w:val="0"/>
          <w:sz w:val="32"/>
          <w:szCs w:val="32"/>
          <w:lang w:val="zh-TW" w:bidi="zh-TW"/>
        </w:rPr>
        <w:t>教育</w:t>
      </w:r>
      <w:r>
        <w:rPr>
          <w:rFonts w:hint="eastAsia" w:ascii="仿宋_GB2312" w:hAnsi="仿宋_GB2312" w:eastAsia="仿宋_GB2312" w:cs="仿宋_GB2312"/>
          <w:color w:val="000000"/>
          <w:spacing w:val="0"/>
          <w:sz w:val="32"/>
          <w:szCs w:val="32"/>
          <w:lang w:val="zh-TW" w:eastAsia="zh-CN" w:bidi="zh-TW"/>
        </w:rPr>
        <w:t>，</w:t>
      </w:r>
      <w:r>
        <w:rPr>
          <w:rFonts w:hint="eastAsia" w:ascii="仿宋_GB2312" w:hAnsi="仿宋_GB2312" w:eastAsia="仿宋_GB2312" w:cs="仿宋_GB2312"/>
          <w:color w:val="000000"/>
          <w:spacing w:val="0"/>
          <w:sz w:val="32"/>
          <w:szCs w:val="32"/>
          <w:lang w:val="en-US" w:eastAsia="zh-CN" w:bidi="zh-TW"/>
        </w:rPr>
        <w:t>深化</w:t>
      </w:r>
      <w:r>
        <w:rPr>
          <w:rFonts w:hint="eastAsia" w:ascii="仿宋_GB2312" w:hAnsi="仿宋_GB2312" w:eastAsia="仿宋_GB2312" w:cs="仿宋_GB2312"/>
          <w:color w:val="000000"/>
          <w:spacing w:val="0"/>
          <w:sz w:val="32"/>
          <w:szCs w:val="32"/>
          <w:lang w:val="zh-TW" w:bidi="zh-TW"/>
        </w:rPr>
        <w:t>劳动教育</w:t>
      </w:r>
      <w:r>
        <w:rPr>
          <w:rFonts w:hint="eastAsia" w:ascii="仿宋_GB2312" w:hAnsi="仿宋_GB2312" w:eastAsia="仿宋_GB2312" w:cs="仿宋_GB2312"/>
          <w:color w:val="000000"/>
          <w:spacing w:val="0"/>
          <w:sz w:val="32"/>
          <w:szCs w:val="32"/>
          <w:lang w:val="zh-TW" w:eastAsia="zh-CN" w:bidi="zh-TW"/>
        </w:rPr>
        <w:t>内涵理念</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充分发挥</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学校食堂的</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资源优势，突出创新探索，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传承中华传统的饮食文化内涵，在加工制作中体验劳动的快乐、学习食品知识，学会幸福生活、享受美食文化</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四、</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建设计划</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结合</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后勤集团食堂</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实际</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和自身特</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色亮</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点，</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列出</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劳动教育实践基地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建设计划进度，注重突出可操作性和可完成性</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2023.3——2023.4  组建2-3人的教学团队（生科院1名+历史文化学院1名+厨师1名），负责基地教学与管理</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2023.3——2023.6 录制教学视频上传网上课程，建立课程内容体系，开展课程教学，分享教学成果。</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2023.6——2023.7  基地教学情况总结与经验分享。</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2023.7——2024.2  拓展基地教学项目，扩大接纳规模，规范管理与教学流程。为开始第二轮教学准备。</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2024.2——2024.7 组织第二轮教学</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五、实施途径</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细化</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劳动教育实践基地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建设主要内容</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，系统阐述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学院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在课程、文化、活动、实践、管理和协同等实施途径的实践做法，详略得当，突出特色与重点。</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（一）课程设置</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1.教学内容</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分两个项目：水饺的制作（8学时）、馒头和包子的制作（8学时）项目在周末进行，每个半天为学时，学生可自主选择。</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2.教学过程</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生科院和历史文化学院教师共同建立一门MOOC课程，学生先行申请，线上学习基础知识，线上考试成绩及格方可参与劳动实践。</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第一课时为劳动纪律与劳动卫生、食品安全教育，明确劳动实践的目标与任务，说明劳动纪律与劳动卫生、食品安全等要求。</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第二课时劳动技能演示，展示劳动实践全过程，让学生熟悉劳动实践的基本流程。</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中间3-7课时学生自主探索劳动实践，厨师指导下小先生协助完成相关劳动项目，小组成员纪录劳动过程材料，作为作业上传课程网站。</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最后一学时展示与享受劳动成果，分享劳动实践感悟。</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二）劳动文化：以4-5人为一组，分组进行教学在课程中通过发图片或写心得分享劳动成果。形成热爱劳动的氛围。基地环境建设围绕科学饮食与养生文化进行布置，追求健康饮食，形成自己动手创造幸福生活的劳动态度。</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（三）活动开展：劳动互帮互助、劳动技能竞赛、劳动成果展示、劳动感悟分享活动。通过劳动实践培养对劳动者的感情，增进同学友宜，享受劳动带来的快乐。</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（四）劳动实践：厨师作为制作与加工的专业指导，采取小先生制，在专业师傅的指导下，高年级作为助教协助下完成劳动实践项目。</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pPr>
      <w:r>
        <w:rPr>
          <w:rFonts w:hint="eastAsia" w:ascii="微软雅黑" w:hAnsi="微软雅黑" w:eastAsia="微软雅黑" w:cs="微软雅黑"/>
          <w:i w:val="0"/>
          <w:iCs w:val="0"/>
          <w:caps w:val="0"/>
          <w:color w:val="333333"/>
          <w:spacing w:val="0"/>
          <w:sz w:val="24"/>
          <w:szCs w:val="24"/>
          <w:shd w:val="clear" w:fill="FFFFFF"/>
          <w:lang w:val="en-US" w:eastAsia="zh-CN"/>
        </w:rPr>
        <w:t>（五）劳动管理：学院辅导员或班主任负责本班学生的劳动实践的管理与成绩的收集，指导老师或师傅和学生助教，对学生劳动过程按考核标准进行考核，给予最终的等级评价。</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六、支持保障</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学院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在组织、师资、经费、场地等保障</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劳动教育实践基地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工作开展方面的具体</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政策与现实条件，</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能</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满足学生进行项目学习、探究学习、实践学习需要，满足学</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多样化劳动实践需求。</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（一）具体政策：对参与指导的老师和厨师给予一定的工作量认定，付给相应的报酬，参与助教的食品专业学生认定为专业实习的学时量。由生科院选派责任心强的学生参与指导。</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72" w:firstLineChars="200"/>
        <w:jc w:val="both"/>
        <w:textAlignment w:val="auto"/>
        <w:outlineLvl w:val="9"/>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（二）现实条件：食堂提供不少于20个学生同时进行的场地，学校配备专门的工具，给予支持。食堂购置不同类型的面粉，让学生自由选择，具体用量按成本价计价让学生自行出</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七、</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预期成果</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提出</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劳动教育实践基地</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CN" w:bidi="zh-TW"/>
        </w:rPr>
        <w:t>建设取得的预期成果</w:t>
      </w: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zh-TW" w:eastAsia="zh-TW" w:bidi="zh-TW"/>
        </w:rPr>
        <w:t>。</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default"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1.饺子：可对外销售，可自己食用。</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32" w:firstLineChars="200"/>
        <w:jc w:val="both"/>
        <w:textAlignment w:val="auto"/>
        <w:outlineLvl w:val="9"/>
        <w:rPr>
          <w:rFonts w:hint="default"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pPr>
      <w:r>
        <w:rPr>
          <w:rFonts w:hint="eastAsia" w:ascii="仿宋_GB2312" w:hAnsi="仿宋_GB2312" w:eastAsia="仿宋_GB2312" w:cs="仿宋_GB2312"/>
          <w:b w:val="0"/>
          <w:bCs w:val="0"/>
          <w:i w:val="0"/>
          <w:iCs w:val="0"/>
          <w:smallCaps w:val="0"/>
          <w:strike w:val="0"/>
          <w:color w:val="000000"/>
          <w:spacing w:val="0"/>
          <w:w w:val="100"/>
          <w:position w:val="0"/>
          <w:sz w:val="32"/>
          <w:szCs w:val="32"/>
          <w:u w:val="none"/>
          <w:lang w:val="en-US" w:eastAsia="zh-CN" w:bidi="zh-TW"/>
        </w:rPr>
        <w:t>2.馒头和包子：可对外销售，可自己食用。</w:t>
      </w:r>
    </w:p>
    <w:p>
      <w:pPr>
        <w:pStyle w:val="2"/>
        <w:rPr>
          <w:rFonts w:hint="default"/>
          <w:lang w:val="en-US" w:eastAsia="zh-CN"/>
        </w:rPr>
      </w:pPr>
    </w:p>
    <w:sectPr>
      <w:headerReference r:id="rId3" w:type="default"/>
      <w:footerReference r:id="rId4" w:type="default"/>
      <w:pgSz w:w="11906" w:h="16838"/>
      <w:pgMar w:top="2098" w:right="1531" w:bottom="1701" w:left="1531" w:header="851" w:footer="1134" w:gutter="0"/>
      <w:pgBorders>
        <w:top w:val="none" w:sz="0" w:space="0"/>
        <w:left w:val="none" w:sz="0" w:space="0"/>
        <w:bottom w:val="none" w:sz="0" w:space="0"/>
        <w:right w:val="none" w:sz="0" w:space="0"/>
      </w:pgBorders>
      <w:pgNumType w:fmt="numberInDash"/>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Wingdings 2">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0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- 2 -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- 2 -</w:t>
                    </w:r>
                    <w:r>
                      <w:rPr>
                        <w:rFonts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YWM0YzhjYTFkZTBlNDgwMDQxZTI1ODIxYmI2YzgifQ=="/>
  </w:docVars>
  <w:rsids>
    <w:rsidRoot w:val="6BBF7216"/>
    <w:rsid w:val="05290F57"/>
    <w:rsid w:val="0B1D33A2"/>
    <w:rsid w:val="105B0736"/>
    <w:rsid w:val="107647A0"/>
    <w:rsid w:val="155D0ED5"/>
    <w:rsid w:val="1EE461C3"/>
    <w:rsid w:val="1FD97438"/>
    <w:rsid w:val="21176FC6"/>
    <w:rsid w:val="22CE0389"/>
    <w:rsid w:val="23A566CF"/>
    <w:rsid w:val="26A30124"/>
    <w:rsid w:val="285C62CD"/>
    <w:rsid w:val="2B69602E"/>
    <w:rsid w:val="2CE4204C"/>
    <w:rsid w:val="32F04CDF"/>
    <w:rsid w:val="34BB6546"/>
    <w:rsid w:val="39FA5319"/>
    <w:rsid w:val="3B585786"/>
    <w:rsid w:val="3C757602"/>
    <w:rsid w:val="3FF95EAE"/>
    <w:rsid w:val="43342280"/>
    <w:rsid w:val="4E471470"/>
    <w:rsid w:val="51C852A4"/>
    <w:rsid w:val="5427504A"/>
    <w:rsid w:val="637628C3"/>
    <w:rsid w:val="6BBF7216"/>
    <w:rsid w:val="7303635B"/>
    <w:rsid w:val="78F2435A"/>
    <w:rsid w:val="7E4B2BF2"/>
    <w:rsid w:val="7F7E3DFE"/>
    <w:rsid w:val="CAEF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4">
    <w:name w:val="heading 1"/>
    <w:basedOn w:val="1"/>
    <w:next w:val="1"/>
    <w:qFormat/>
    <w:uiPriority w:val="0"/>
    <w:pPr>
      <w:keepNext/>
      <w:keepLines/>
      <w:spacing w:beforeLines="50" w:afterLines="50"/>
      <w:jc w:val="center"/>
      <w:outlineLvl w:val="0"/>
    </w:pPr>
    <w:rPr>
      <w:rFonts w:eastAsia="黑体"/>
      <w:b/>
      <w:kern w:val="44"/>
      <w:sz w:val="32"/>
    </w:rPr>
  </w:style>
  <w:style w:type="paragraph" w:styleId="5">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标题 #2"/>
    <w:basedOn w:val="1"/>
    <w:qFormat/>
    <w:uiPriority w:val="0"/>
    <w:pPr>
      <w:widowControl w:val="0"/>
      <w:shd w:val="clear" w:color="auto" w:fill="FFFFFF"/>
      <w:spacing w:before="900" w:after="180" w:line="0" w:lineRule="atLeast"/>
      <w:jc w:val="right"/>
      <w:outlineLvl w:val="1"/>
    </w:pPr>
    <w:rPr>
      <w:rFonts w:ascii="MingLiU" w:hAnsi="MingLiU" w:eastAsia="MingLiU" w:cs="MingLiU"/>
      <w:spacing w:val="0"/>
      <w:sz w:val="34"/>
      <w:szCs w:val="34"/>
      <w:u w:val="none"/>
    </w:rPr>
  </w:style>
  <w:style w:type="paragraph" w:customStyle="1" w:styleId="16">
    <w:name w:val="正文文本 (2)"/>
    <w:basedOn w:val="1"/>
    <w:link w:val="20"/>
    <w:qFormat/>
    <w:uiPriority w:val="0"/>
    <w:pPr>
      <w:shd w:val="clear" w:color="auto" w:fill="FFFFFF"/>
      <w:spacing w:before="660" w:after="420" w:line="0" w:lineRule="atLeast"/>
      <w:jc w:val="right"/>
    </w:pPr>
    <w:rPr>
      <w:rFonts w:ascii="MingLiU" w:hAnsi="MingLiU" w:eastAsia="MingLiU" w:cs="MingLiU"/>
      <w:spacing w:val="20"/>
      <w:sz w:val="30"/>
      <w:szCs w:val="30"/>
    </w:rPr>
  </w:style>
  <w:style w:type="paragraph" w:customStyle="1" w:styleId="17">
    <w:name w:val="正文文本 (3)"/>
    <w:basedOn w:val="1"/>
    <w:qFormat/>
    <w:uiPriority w:val="0"/>
    <w:pPr>
      <w:widowControl w:val="0"/>
      <w:shd w:val="clear" w:color="auto" w:fill="FFFFFF"/>
      <w:spacing w:line="557" w:lineRule="exact"/>
      <w:jc w:val="distribute"/>
    </w:pPr>
    <w:rPr>
      <w:rFonts w:ascii="MingLiU" w:hAnsi="MingLiU" w:eastAsia="MingLiU" w:cs="MingLiU"/>
      <w:b/>
      <w:bCs/>
      <w:sz w:val="26"/>
      <w:szCs w:val="26"/>
      <w:u w:val="none"/>
    </w:rPr>
  </w:style>
  <w:style w:type="paragraph" w:customStyle="1" w:styleId="18">
    <w:name w:val="正文文本 (5)"/>
    <w:basedOn w:val="1"/>
    <w:qFormat/>
    <w:uiPriority w:val="0"/>
    <w:pPr>
      <w:shd w:val="clear" w:color="auto" w:fill="FFFFFF"/>
      <w:spacing w:line="0" w:lineRule="atLeast"/>
      <w:jc w:val="center"/>
    </w:pPr>
    <w:rPr>
      <w:rFonts w:ascii="MingLiU" w:hAnsi="MingLiU" w:eastAsia="MingLiU" w:cs="MingLiU"/>
      <w:sz w:val="26"/>
      <w:szCs w:val="26"/>
    </w:rPr>
  </w:style>
  <w:style w:type="character" w:customStyle="1" w:styleId="19">
    <w:name w:val="正文文本 (2) + 10 pt2"/>
    <w:basedOn w:val="20"/>
    <w:qFormat/>
    <w:uiPriority w:val="0"/>
    <w:rPr>
      <w:color w:val="000000"/>
      <w:spacing w:val="0"/>
      <w:w w:val="100"/>
      <w:position w:val="0"/>
      <w:sz w:val="20"/>
      <w:szCs w:val="20"/>
      <w:lang w:val="zh-TW" w:eastAsia="zh-TW" w:bidi="zh-TW"/>
    </w:rPr>
  </w:style>
  <w:style w:type="character" w:customStyle="1" w:styleId="20">
    <w:name w:val="正文文本 (2)_"/>
    <w:basedOn w:val="12"/>
    <w:link w:val="16"/>
    <w:qFormat/>
    <w:uiPriority w:val="0"/>
    <w:rPr>
      <w:rFonts w:ascii="MingLiU" w:hAnsi="MingLiU" w:eastAsia="MingLiU" w:cs="MingLiU"/>
      <w:spacing w:val="20"/>
      <w:sz w:val="30"/>
      <w:szCs w:val="30"/>
    </w:rPr>
  </w:style>
  <w:style w:type="paragraph" w:styleId="21">
    <w:name w:val="List Paragraph"/>
    <w:basedOn w:val="1"/>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22158</Words>
  <Characters>23138</Characters>
  <Lines>0</Lines>
  <Paragraphs>0</Paragraphs>
  <TotalTime>229</TotalTime>
  <ScaleCrop>false</ScaleCrop>
  <LinksUpToDate>false</LinksUpToDate>
  <CharactersWithSpaces>23618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2022-04-03T01:52:00Z</dcterms:created>
  <dc:creator>戴八一</dc:creator>
  <cp:lastModifiedBy>Admin</cp:lastModifiedBy>
  <cp:lastPrinted>2023-03-10T05:14:00Z</cp:lastPrinted>
  <dcterms:modified xsi:type="dcterms:W3CDTF">2023-03-10T10:42:28Z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BE27D7ED30544BEE854D98B75D825FCE</vt:lpwstr>
  </property>
</Properties>
</file>